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первой и кассационной инстанций норм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суд первой инстанции, с которым согласился суд округа, исследовав и оценив представленные в материалы дела доказательства по правилам статьи 71 Арбитражного процессуального кодекса 2 Российской Федерации, руководствуясь статьями 154, 156, 410 Гражданского кодекса Российской Федерации, исходил из установленных обстоятельств прекращения обязательства ответчика перед истцом по оплате выполненных работ зачетом встречных однородных требований. Из содержания судебных актов следует, что суд первой инстанции всесторонне исследовал доказательства по делу, установил необходимые для разрешения спора обстоятельства, а суд округа дал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первой и кассационной инстанций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«Капитал стройиндустрия»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