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оттиску почтового штемпеля на конверте) 08.04.2023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2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обособленного спора по делу № А40-117687/2020 является постановление Арбитражного суда Московского округа от 07.02.2023, вступившее в законную силу, согласно части 5 статьи 289 АПК РФ, со дня его принятия – 07.02.2023, следовательно, двухмесячный срок на подачу кассационной жалобы истек 07.04.2023. Одновременно с подачей жалобы обществом заявлено ходатайство о восстановлении пропущенного процессуального срока. В качестве причины пропуска указана публикация обжалуемого судебного акта на следующий день после принятия судебного акта и исчисление срока на подачу жалобы с этого дня (08.02.2023).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Правовых оснований для иного исчисления срока подачи жалобы, в том числе с момента публикации судебного акта, не имеется. Неправильное исчисление заявителем срока подачи кассационной жалобы, не соответствующее положениям статей 113,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«Левант» в удовлетворении ходатайства о восстановлении пропущенного процессуального срока подачи кассационной жалобы на определение Арбитражного суда города Москвы от 29.08.2022 по делу № А40-117687/2020, постановление Девятого арбитражного апелляционного суда от 16.11.2022 и постановление Арбитражного суда Московского округа от 07.02.2023 по тому же делу. Жалобу ООО «Левант»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