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06.10.2022, оставленным без изменения постановлением Десятого арбитражного апелляционного суда от 08.12.2022 и постановлением Арбитражного суда Московского округа от 09.02.2023, в удовлетворении заявления отказано. В кассационной жалобе Гончар К.О. просит об отмене судебных актов, ссылаясь на допущенные апелляционным и окружным судами нарушения в оценке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что заявитель не проживал с должником в заявленном к исключению из конкурсной массы доме и не имел в отношении дома иных прав, поэтому в силу в силу статьи 446 Гражданского процессуального кодекса Российской Федерации, пунктов 2, 3 статьи 213.25 Федерального закона от 26.10.2002 № 127-ФЗ «О несостоятельности (банкротстве)» и статьи 31 Жилищного кодекса Российской Федерации за заявителем не может быть признан исполнительский иммунитет на дом. Доводы заявителя не имеют правового значения для результата рассмотрения спора.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Гончар Кристине Олеговне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