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10.06.2022. Определением Арбитражного суда Костромской области от 19.07.2022, оставленным без изменения постановлением Второго арбитражного апелляционного суда от 19.09.2022 и постановлением Арбитражного суда Волго-Вятского округа от 17.01.2023,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