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Удовлетворяя заявленные требования, суды пришли к выводу о том, что оспоренные ненормативные акты антимонопольного органа не соответствуют закону и нарушают права и законные интересы заявителя в сфере предпринимательской или иной экономической деятельности. При этом судебные инстанции исходили из отсутствия в действиях банка признаков нарушения законодательства о рекламе, поскольку размещенная рекламная информация носит контекстный характер и направлена на предоставление потребителю активной гиперссылки с переходом на следующую страницу Интернета, содержащую подробные условия рекламируемой финансовой услуги и наименование предоставляющего ее юридического лица, а также недоказанности искажения смысла рекламы либо 2 введения потребителей в заблуждение относительно условий договора при использовании гиперссылки.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