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01.09.2021, оставленным без изменения постановлением Тринадцатого арбитражного апелляционного суда от 11.11.2021, в удовлетворении заявления отказано. Постановлением Арбитражного суда Северо-Западного округа от 07.02.2022 определение и постановление апелляционного суда отменены, дело направлено на новое рассмотрение в суд первой инстанции. В кассационной жалобе ФИО2 просит отменить постановление окружного суда как незаконное.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установив невыснение нижестоящими судами распространения на спорное имущество исполнительского иммунитета, сведений о реальной цене спорного имущества в целях соотношения интересов кредиторов и сохранения жилищных прав должника, мнения кредиторов о предоставлении должнику замещающего жилья, признал необходимость нового рассмотрения спора в пределах имеющейся в силу статей 286 , 287 Арбитражного процессуального кодекса Российской Федерации компетенции.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