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30.06.2022 в удовлетворении заявления отказано. Постановлением Девятого арбитражного апелляционного суда от 29.08.2022 определение от 30.06.2022 отменено, заявление направлено на новое рассмотрение в Арбитражный суд города Москвы. Постановлением Арбитражного суда Московского округа от 13.12.2022 постановление апелляционного суда отменено, определение суда первой инстанции оставлено в силе. В кассационной жалобе Навицкас О.А. просит об отмене судебных актов, ссылаясь на ненадлежащую оценку влияния заявленного обстоятельства на существо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заявленного обстоятельства на существо определения, необходимого в силу статьи 311 Арбитражного процессуального кодекса Российской Федерации для пересмотра этого судебного акта. Иная позиция подателя жалобы в отношении заявленного обстоятельства не создает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Навицкасу Олегу Алгимантасовичу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