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учитывая разъяснения, изложенные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взыскания с ответчика заявленных сумм убытков, с чем согласился суд округа. Судебные инстанции исходили из отсутствия доказательств противоправного поведения ответчика, вины и причинно-следственной связи между действиями ответчика и возникшими у истца убытками, приняв во внимание, что все необходимые действия при идентификации клиента, принимаемого на обслуживание, осуществлены.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2 материального права и (или) норм процессуального права, приведшие к судебной ошибке существенного и непреодолимого характера. Изложенные доводы в кассационной жалобе являлись предметом рассмотрения судов трех инстанций, направлены на их переоценку и не могут являться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«Агроивест»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