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жалобой на действия (бездействие) бывшего конкурсного управляющего должником Пермякова Сергея Юрьевича, выразившееся в непринятии следующих мер: по дренированию системы отопления после отключения подачи тепла 31.01.2019; по организации надлежащего контроля над вверенным имуществом. Просил взыскать с Пермякова С.Ю. в пользу общества убытки в сумме 4 505 000 рублей. Определением Арбитражного суда Пермского края от 30.06.2022, оставленным без изменения постановлениями Семнадцатого арбитражного апелляционного суда от 15.09.2022 и Арбитражного суда Уральского округа от 20.12.2022, отказано в удовлетворении заявления. В кассационной жалобе, поданной в Верховный Суд Российской Федерации, заявитель просит отменить указанные судебные акты и направить обособленный спор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статьи 15 Гражданского кодекса Российской Федерации, статьи 20.4 Федерального закона от 26.10.2002 № 127-ФЗ «О несостоятельности (банкротстве)», пришли к выводу о недоказанности наличия в бездействии Пермякова С.Ю. нарушений законодательства о банкротстве, указали на недоказанность причинно- следственной связи между бездействием ответчика и убытками на стороне общества, как следствие, исходили из отсутствия причин для удовлетворения требований по заявленным основаниям.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«Уралстройинвест»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