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апреля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бывший конкурсный управляющий Солодухин Денис Николаевич обратился в суд с заявлением о признании недействительным договора купли-продажи от 20.10.2015, заключенного между должником и Бегуновым Василием Викторовичем в отношении поименованных в заявлении шести объектов недвижимого имущества (зданий); применении последствий недействительности сделки. Определением Арбитражного суда Брянской области от 01.04.2022, оставленным без изменения постановлениями Двадцатого арбитражного апелляционного суда от 20.07.2022 и Арбитражного суда Центрального округа от 28.12.2022, заявление удовлетворено. В кассационной жалобе, поданной в Верховный Суд Российской Федерации, заявитель просит отменить названные судебные акты и принять по делу новый судебный акт об отказе в удовлетворении заявления. 15.03.2023 материалы дела № А09-14659/2017 были истребованы в Арбитражном суде Брянской области.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2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актов, материалов дела, доводов кассационной жалобы и поступивших от заявителя письменных объяснений таких оснований не установлено. Разрешая спор, суды, основываясь на оценке представленных в дело доказательств и результатах судебной экспертизы в соответствии с правилами главы 7 Арбитражного процессуального кодекса Российской Федерации, руководствуясь статьёй 2, пунктом 2 статьи 61.2 Федерального закона от 26.10.2002 № 127-ФЗ «О несостоятельности (банкротстве)», исходили из доказанности совокупности условий, необходимых для признания недействительной оспариваемой сделки, совершённой неплатёжеспособным должником в период подозрительности и причинившей вред имущественным правам кредиторов. Доводы о неисполнимости обжалуемого определения суда первой инстанции в части применения последствий недействительности сделки (ввиду сноса заявителем двух из шести объектов недвижимости) являлись предметом оценки суда округа, мотивированно отклонены им ввиду наличия у заявителя возможности реализовать своё право на основании статьи 324 Арбитражного процессуального кодекса Российской Федерации. Доказательств проведения работ по сносу старых и возведения на их месте новых объектов недвижимого имущества, постановки последних на кадастровый учёт заявителем не представлено. Приводимые заявителем доводы, касающиеся исследования и установления фактических обстоятельств дела, в судах первой и апелляционной инстанции им не приводились. Выводы судов соответствуют нормам права, оснований для переоценки этих выводов не имеется. Результаты рассмотрения доводов кассационной жалобы, изучения обжалуемых заявителем судебных актов и материалов истребованного дела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Бегунову Василию Викторовичу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