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15.07.2022, оставленным без изменения постановлением Десятого арбитражного апелляционного суда от 29.09.2022 и постановлением Арбитражного суда Московского округа от 19.12.2022, в удовлетворении заявления отказано. В кассационной жалобе Репницына С.В. просит об отмене судебных актов, ссылаясь на отсутствие надлежащей оценки действий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констатации незаконности действий (бездействия) финансового управляющего, поэтому отклонили жалобу в соответствии со статьями 20.3, 60, 83, 213.9 Федерального закона от 26.10.2002 № 127-ФЗ «О несостоятельности (банкротстве)» и их судебного толкования. Довод о наличии основания для возвращения заявления противоречит обосновываемой кредитором цели его подачи.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Репницыной Светлане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