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22.10.2020 требование Свиридовой Л.Д. о включении в реестр требований кредиторов должника (далее – реестр) долга в размере 7 752 886 рублей 69 копеек признано обоснованным и подлежащим удовлетворению за счёт имущества должника, оставшегося после удовлетворения требований кредиторов. Пайщик Свиридова Л.Д. обратилась в суд с заявлением об изменении очерёдности в реестре требований кредиторов. Определением Арбитражный суд Хабаровского края от 13.05.2022 в удовлетворении заявления отказано. Постановлением Шестого арбитражного апелляционного суда от 24.10.2022, оставленным без изменения постановлением Арбитражного суда Дальневосточного округа от 13.01.2023, отменены определения суда первой инстанции от 22.10.2020 и определение от 13.05.2022. Требование Свиридовой Л.Д. в размере 700 000 рублей основного долга включено в первую очередь реестра, требование в размере 7 052 886 рублей 68 копеек включено в третью очередь реестра. 2 В кассационной жалобе, поданной в Верховный Суд Российской Федерации, заявитель просит отменить постановления суда апелляционной инстанции и округа, выплатить принадлежащие ей денежные средства в порядке первой очереди.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инстанции, суд апелляционной инстанции, руководствуясь пунктами 2, 3 статьи 189.5 Федерального закона от 26.10.2002 № 127-ФЗ «О несостоятельности (банкротстве)», исходил из того, что отнесение требования заявителя – пайщика кредитного кооператива к первой очереди реестра в силу установленных законодательством о банкротстве требований ограничено суммой, которая не может превышать 700 000 рублей в отношении каждого члена кредитного кооператива (пайщика). В связи с этим, оставшаяся сумма требований заявителя в размере 7 052 886 рублей 68 копеек подлежит удовлетворению в составе третьей очереди реестра. С данными выводами согласился суд округа.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Свиридовой Людмиле Дмитриевне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