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заявлениями, объединёнными в одно производство для совместного рассмотрения, в которых просил признать недействительными сделками договор купли-продажи и заявление о зачёте взаимных требований, заключенные 23.04.2018 между должником и обществом с ограниченной ответственностью «Производственно – коммерческая фирма «Янтарь-2»; применении последствий их недействительности. Определением Арбитражного суда Брянской области от 13.07.2022, оставленным без изменения постановлениями Двадцатого арбитражного апелляционного суда от 15.09.2022 и Арбитражного суда Центрального округа от 15.12.2022,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и результатах судебной экспертизы, руководствуясь пунктом 2 статьи 61.2 Федерального закона от 26.10.2002 № 127-ФЗ «О несостоятельности (банкротстве)», исходили из недоказанности совокупности условий, необходимых для признания недействительными оспариваемых сделок как не повлекших за собой причинения имущественного вреда кредиторам, не установив у них пороков, выходящих за пределы дефектов подозрительных сделок и позволяющих применить положения статей 10 и 168 Гражданского кодекса Российской Федерации.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переоценки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«Строительно-коммерческая фирма «Комфорт» Михальцову Андрею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