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20.02.2021 принято к производству заявление ФИО1 о признании банкротом ФИО2 Определением Арбитражного суда города Москвы от 05.07.2021 в отношении должника введена процедура реструктуризации долгов. Решением Арбитражного суда города Москвы от 20.12.2021 должник признан банкротом, введена процедура реализации имущества гражданина. Определением Арбитражного суда города Москвы от 17.06.2022 прекращено производство по делу о банкротстве должника. ФИО1 обратился в суд с апелляционной жалобой на определение о прекращении производства по делу, заявив ходатайство о восстановлении пропущенного срока на подачу апелляционной жалобы. Определением Девятого арбитражного апелляционного суда от 28.10.2022 в удовлетворении ходатайства о восстановлении срока отказано; производство по апелляционной жалобе прекращено. Арбитражный суд Московского округа постановлением от 15.12.2022 определение суда апелляционной инстанции оставил без изменения. ФИО1 обратился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ходатайства о восстановлении пропущенного срока подачи апелляционной жалобы, суд апелляционной инстанции руководствовался положениями статей 117 , 123 , 259 , 264 Арбитражного процессуального кодекса Российской Федерации, статьями 34 , 35 Федерального закона от 26.10.2002 № 127-ФЗ «О несостоятельности (банкротстве)», оценил приведенные причины пропуска срока и пришел к выводу о том, что они не являются уважительными, в связи с чем отсутствуют основания для восстановления срока. Окружной суд согласился с выводом суда апелляционной инстанции об отсутствии оснований для восстановления пропущенного срока в связи с непредставлением доказательств того, что заявитель, действуя разумно и добросовестно, столкнулся с обстоятельствами, препятствовавшими своевременному направлению апелляционной жалобы, и наличием условий, ограничивающих возможность совершения соответствующих юридических действий.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КОММЕРЧЕСКИЙ ТОПЛИВНО-ЭНЕРГЕТИЧЕСКИЙ МЕЖРЕГИОНАЛЬНЫЙ БАНК РЕКОНСТРУКЦИИ И РАЗВИТИЯ (подробнее) Иные лица: Ассоциация СРО ПАУ ЦФО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