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Ханиневой О.Н. в Арбитражный суд города Москвы обратился финансовый управляющий Чупраков А.А. с заявлением о внесении изменений в договор поручения РАД-/2022 от 07.02.2022 и изложении пункта 1.4 договора в следующей редакции: размер вознаграждения организатора торгов составляет 20 000 рублей, включая НДС, за 1 лот. Определением Арбитражного суда города Москвы от 27.06.2022 в удовлетворении заявления отказано. Постановлением Девятого арбитражного апелляционного суда от 28.09.2022 определение суда первой инстанции оставлено без изменения. Арбитражный суд Московского округа постановлением от 26.12.2022 указанные судебные акты оставил без изменения. Финансовый управляющий Чупраков А.А.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20.3, 60 Федерального закона от 26.10.2002 № 127-ФЗ «О несостоятельности (банкротстве)» и исходили из того, что вступившим в законную силу судебным актом по иному обособленному спору в рамках настоящего дела о банкротстве была дана оценка доводам финансового управляющего в части размера вознаграждения организатора торгов, определен порядок реализации залогового имущества должника и проведение торгов должно производиться в соответствии с утвержденным судом порядком.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