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апелляционной инстанции и округа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Отменяя решение суда первой инстанции и удовлетворяя иск, суд апелляционной инстанции, с которым согласился суд округа, руководствовался статьями 15, 393, 723, 783 Гражданского кодекса Российской 2 Федерации и, исследовав и оценив представленные в материалы дела доказательства по правилам статьи 71 Арбитражного процессуального кодекса Российской Федерации, исходил из доказанности совокупности условий, необходимых для возложения на ответчика обязанности по возмещению убытков, причиненных истцу вследствие ненадлежащего исполнения договорных обязательств по охране объекта. Из содержания судебных актов следует, что суд апелляционной инстанции всесторонне исследовал доказательства по делу, установил необходимые для разрешения спора обстоятельства, а суд округа дал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Частная охранная фирма «Дельта XXI век-II»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