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Поваровой И.В. в Арбитражный суд Московской области обратилась должник с заявлением об исключении из конкурсной массы 3/8 доли в праве на недвижимое имущество и земельный участок. Определением Арбитражного суда Московской области от 08.08.2022, оставленным без изменения постановлением Десятого арбитражного апелляционного суда от 02.11.2022 и постановлением Арбитражного суда Московского округа от 10.02.2023, в удовлетворении заявления отказано. Должник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руководствовались положениями статьи 213.25 Федерального закона от 26.10.2002 № 127-ФЗ «О несостоятельности (банкротстве)», статьей 446 Гражданского процессуального кодекса Российской Федерации и исходили из отсутствия доказательств отнесения спорного недвижимого имущества к имуществу, на которое не может быть обращено взыскание в соответствии с гражданским и семейным законодательством.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