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кассационных жалобах, поданных в Верховный Суд Российской Федерации, заявители, ссылаясь на нарушение судами норм материального и процессуального права, просят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Удовлетворяя исковые требования и подтверждая правильность этого вывода, суды, исследовав и оценив представленные в материалы дела 2 доказательства, руководствуясь положениями законодательства, регулирующего спорные правоотношения, исходили из подтвержденности факта исполнения истцом (подрядчик) договорных обязательств и наличия у ответчика (генподрядчик) задолженности по оплате выполненных работ в заявленном размере.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заявителей со ссылкой на положения норм действующего законодательства применительно к установленным фактическим обстоятельствам дела. Доводы кассационных жалоб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акционерного общества «ТеплоИндустрия» и общества с ограниченной ответственностью «Экостройсервис»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