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06.06.2022, оставленным без изменения постановлением Четвертого арбитражного апелляционного суда от 07.09.2022 и постановлением Арбитражного суда Восточно-Сибирского округа от 08.12.2022, в удовлетворении заявления отказано. В кассационной жалобе Семенова С.И. просит об изменении мотивировки судебных актов, ссылаясь на неотражение в них оценки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отказали в признании недействительным договора в связи с пропуском срока исковой давности, являющимся самостоятельным основанием для отклонения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Семеновой С.И.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