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процессуального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решение суда первой инстанции и постановление суда апелляционной инстанций в части и направляя дело в отмененной части на новое рассмотрение, суд округа указал на необходимость 2 исследования фактических обстоятельств, имеющих значение для правильного разрешения дела. Обжалуемое постановление суда округа принято в пределах полномочий, предоставленных арбитражному суду округа (статьи 286, 287 АПК РФ). Оснований, предусмотренных пунктом 1 части 7 статьи 291.6 АПК РФ,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«Ремикс»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