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Пищулина А.В. в Арбитражный суд Ростовской области обратилось ЗАО «Альянс-Лизинг» с заявлением о включении в реестр требований кредиторов должника задолженности в размере 3 655 155 рублей 76 копеек как обеспеченной залогом имущества должника. Определением Арбитражного суда Ростовской области от 27.07.2022, оставленным без изменения постановлением Пятнадцатого арбитражного апелляционного суда от 22.09.2022 и постановлением Арбитражного суда Северо-Кавказского округа от 15.12.2022, требование в заявленном размере включено в третью очередь реестра требований кредиторов должника, в части включения требования как обеспеченного залогом отказано. ЗАО «Альянс-Лизинг» обратилось в Судебную коллегию по экономическим спорам Верховного Суда Российской Федерации с кассационной жалобой на принятые по обособленному спору судебные акты в части отказа в удовлетворении его требования,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запрет на распоряжение имуществом не порождает таких залоговых свойств, которые позволяют кредитору получить приоритет при удовлетворении его требований в процедурах банкротства, суды пришли к выводу об отсутствии оснований для включения требования в реестр требований кредиторов должника как обеспеченного залогом имущества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