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09.08.2022, оставленным без изменения постановлением Семнадцатого арбитражного апелляционного суда от 14.10.2022 и постановлением Арбитражного суда Уральского округа от 23.01.2023, заявление удовлетворено. В кассационной жалобе предприниматель просит об отмене судебных актов, ссылаясь на нарушение правил признания имущества общим.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Указанные предпринимателем правила установлены для определения права собственности на общее имущество жилого дома в рамках конкретного спора и не распространяются на обстоятельства рассматриваемого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Аликиной Ольге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