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10.12.2018, оставленным без изменения постановлением Тринадцатого арбитражного апелляционного суда от 01.04.2019 и постановлением Арбитражного суда Северо-Западного округа от 17.06.2019,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обжалуемые судебные акты, суды руководствовались положениями 382, 384 Гражданского кодекса Российской Федерации и исходили из установленного факта неисполнения ответчиком обязанности по возврату денежных средств. Доводы кассационной жалобы не подтверждают существенных нарушений норм права, повлиявших на исход дела, в связи с чем оснований для передачи жалобы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«ЛП»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Ответчики: ООО "ЛП"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