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«БилдБрокер» обратилось в Верховный Суд Российской Федерации с кассационной жалобой в электронном виде на определение Арбитражного суда города Москвы от 15.06.2021 и постановление Арбитражного суда Московского округа от 09.02.2022. До рассмотрения кассационной жалобы по существу от заявителя поступило ходатайство о возвращении кассационной жалобы. Согласно пункту 4 части 1 статьи 291.5 Арбитражного процессуального кодекса Российской Федерации кассационная жалоба возвращается без рассмотрения по существу, если поступило ходатайство о возвращении или об отзыве кассационной жалобы. С учетом изложенного кассационная жалоба подлежит возвращению без рассмотрения по существу. Руководствуясь статьями 184 , 185 , пунктом 4 части 1 статьи 291.5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«БилдБрокер» о возвращении кассационной жалобы удовлетворить. Возвратить обществу с ограниченной ответственностью «БилдБрокер» кассационную жалобу на определение Арбитражного суда города Москвы от 15.06.2021 и постановление Арбитражного суда Московского округа от 09.02.2022 по делу № А40-189415/2019 о несостоятельности (банкротстве) ФИО1 без рассмотрения по существу. Судья Верховного Суда Российской Федерации Зарубина Е.Н. Суд: Верховный Суд РФ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