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«Агентство старинных развлечений «Ратоборцы» обратилось в Арбитражный суд города Москвы с иском о взыскании с автономной некоммерческой организации «Конгрессно- выставочное бюро города Москвы» 10 061 618 рублей 38 копеек задолженности по договору на оказание услуг от 31.07.2019 № ВЭ/001-06.20. Судом принят встречный иск автономной некоммерческой организации «Конгрессно-выставочное бюро города Москвы» к обществу с ограниченной ответственностью «Агентство старинных развлечений «Ратоборцы» о взыскании 15 283 511 рублей 31 копейки неосновательного обогащения. К участию в деле в качестве третьего лица, не заявляющего самостоятельных требований относительно предмета спора, привлечен Департамент торговли и услуг города Москвы. Решением Арбитражного суда города Москвы от 29.03.2021 первоначальный иск удовлетворен, в удовлетворении встречного иска отказано. Постановлением Девятого арбитражного апелляционного суда от 02.07.2021 решение суда первой инстанции оставлено без изменения. Арбитражный суд Московского округа постановлением от 20.09.2021 указанные судебные акты отменил и направил дело на новое рассмотрение в Арбитражный суд города Москвы. Общество с ограниченной ответственностью «Агентство старинных развлечений «Ратоборцы»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291.1 - 291.3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«Агентство старинных развлечений «Ратоборцы»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Департамент торговли и услуг города Москвы (подробнее) ООО "Агентство старинных развлечений "Ратоборцы" (подробнее) ООО "Про фактор" (подробнее) Ответчики: АНО "КОНГРЕССНО-ВЫСТАВОЧНОЕ БЮРО ГОРОДА МОСКВЫ"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