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первой инстанции и округа норм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для пересмотра судебных актов по доводам кассационной жалобы, изученным по материалам истребованного дела, не установлено. 2 Удовлетворяя исковые требования, суд первой инстанции, с которым впоследствии согласился суд округа, исследовав и оценив представленные в материалы дела доказательства, руководствуясь положениями гражданского законодательства и законодательства, регулирующего отношения в сфере долевого участия в строительстве, исходя из установленных фактических обстоятельств, пришел к выводу о наличии оснований для возложения на ответчиков обязанности по устранению выявленных в пределах гарантийного срока недостатков работ по строительству многоквартирного дома. Из содержания судебных актов следует, что суд первой инстанции всесторонне исследовал доказательства по делу, установил необходимые для разрешения спора обстоятельства, а суд округа дал надлежащую правовую оценку доводам заявителя со ссылкой на положения норм действующего законодательства применительно к установленным фактическим обстоятельствам дела. Доводы заявителя с учетом установленных обстоятельств спора не подтверждают существенных нарушений судами первой и кассационной инстанций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«Центр развития инвестиционных проектов»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