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27.06.2022 процедура реализации имущества ФИО1 завершена, в применении правил об освобождении гражданина-должника от дальнейшего исполнения обязательств отказано. Постановлением Девятого арбитражного апелляционного суда от 26.10.2022 определение суда первой инстанции оставлено без изменения. Арбитражный суд Московского округа постановлением от 23.01.2023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Завершая процедуру реализации имущества должника, суды руководствовались положениями статей 213.2 , 213.25 ,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Отказывая в применении в отношении должника правил об освобождении от исполнения обязательств, суды исходили из наличия исключений для освобождения должника от обязательств перед кредитором, предусмотренных абзацем четвертым пункта 4 статьи 213.28 Закона о банкротстве, установив недобросовестное поведение должника, выразившееся в израсходовании должником в процедуре реализации имущества денежных средств посредством находящейся у нее банковской карты.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Российский кредит" в лице к.у. (подробнее) АО "ИНВЕСТИЦИОННЫЙ БАНК "ФИНАМ" (подробнее) ООО "ОКСИДЕНТАЛ ЭКССПРЕСС" (подробнее) ПАО КОММЕРЧЕСКИЙ БАНК "ЕВРОСИТИБАНК" (подробнее) ПАО "Сбербанк России" (подробнее) Иные лица: ф/у Дружинин С.А.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