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Костромской области от 29.07.2022, оставленным без изменения постановлениями Второго арбитражного апелляционного суда от 03.10.2022 и Арбитражного суда Волго-Вятского округа от 18.01.2023, отказано в удовлетворении заявления Соколова Н.М. об исправлении опечатки в определении Арбитражного суда Костромской области от 10.06.2022. В кассационной жалобе, поданной в Верховный Суд Российской Федерации, заявитель выражает несогласие с указанными судебными актами. Основаниями для отмены или изменения Судебной коллегией Верховного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ходатайства об исправлении опечатки, суд первой инстанции, руководствуясь положениями статьи 179 Арбитражного процессуального кодекса Российской Федерации, исходил из отсутствия причин для удовлетворения требований по заявленным основаниям.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