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общество «Тепличные Технологии» обратилось в суд с заявлением о признании обоснованными и включении в реестр требований кредиторов должника (далее – реестр) задолженности по договорам займа в размере 48 500 208 рублей 21 копейка. Определением Арбитражного суда Самарской области от 04.08.2022, оставленным без изменения постановлением Одиннадцатого арбитражного апелляционного суда от 21.10.2022 и Арбитражного суда Поволжского округа от 23.01.2023, заявленное требование удовлетворено, признано обоснованным и подлежащим удовлетворению в порядке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указанные судебные акты, заявленное требование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Закона о банкротстве, позицией, изложенной в пунктах 3.1, 3.2 Обзора судебной практики разрешения споров, связанных с установлением в процедурах банкротства требований контролирующих должника и аффинированных с ним лиц, утвержденного Президиумом Верховного Суда Российской Федерации 29.01.2020, установив обстоятельства предоставления заинтересованным лицом займа должнику в ситуации имущественного кризиса, субординировали требование.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«ПКФ Тепличные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