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по правилам статьи 71 Арбитражного процессуального кодекса Российской Федерации, установив факт выполнения ответчиком (подрядчик) работ 2 на спорную сумму, руководствуясь статьями 450.1, 453, 702, 711, 715, 740, 746, 753, 1102, 1105 Гражданского кодекса Российской Федерации, суды пришли к выводу об отсутствии правовых оснований для квалификации полученных ответчиком от истца денежных средств в качестве неосновательного обогащения, в связи с чем отказали в удовлетворении иска.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«Специализированный застройщик «ДВ СтройТех»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