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зачёта взаимных требований от 26.01.2021 № 04–04/188/21, заключённого должником с обществом с ограниченной ответственностью «Интерэнерго» и применении последствий недействительности сделки. Определением Арбитражного суда Чувашской Республики – Чувашии от 17.06.2022, оставленным без изменения постановлениями Первого арбитражного апелляционного суда от 29.08.2022 и Арбитражного суда Волго–Вятского округа от 29.11.2022,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заявленные требования удовлетворить.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конкурсному управляющему в удовлетворении заявленного требования, суды, руководствуясь положениями статьи 61.3 Федерального закона от 26.10.2002 № 127-ФЗ «О несостоятельности (банкротстве)», исходили из того, что оспариваемое действие представляет собой сальдирование взаимных обязательств сторон в рамках договора поставки и не влечёт оказания обществу предпочтения.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«Энерго Инжиниринг»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"Локус Станди" (подробнее) Ответчики: ООО "Энерго Инжиниринг" (подробнее) Иные лица: Банк ВТБ (подробнее) в/у Павлов Владислав Анатольевич (подробнее) Единый регистрационный центр ИФНС по г. Чебоксары (подробнее) ООО "ИнтерЭнерго" (подробнее) ООО "ПромАрмДеталь" (подробнее) ООО "Энергетическая арматура" (подробнее) СОЮЗ АРБИТРАЖНЫХ УПРАВЛЯЮЩИХ "СОЗИДАНИЕ" (подробнее) Управление Росреестра по Чувашской Республике (подробнее) Управление Федеральной налоговой службы по Чувашской Республике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