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«Логистический и информационный правовой центр» (далее – общество) обратилось в Арбитражный суд города Москвы с заявлением к Новороссийской таможне (далее – таможенный орган) о признании незаконным и отмене постановления от 24.01.2022 № 10317000-3/2022 о привлечении к административной ответственности, предусмотренной частью 2 статьи 16.2 Кодекса Российской Федерации об административных правонарушениях (далее – КоАП РФ). Решением Арбитражного суда города Москвы от 13.04.2022, оставленным без изменения постановлением Девятого арбитражного апелляционного суда от 07.07.2022, заявление общества удовлетворено. Арбитражный суд Московского округа постановлением от 10.11.2022 оставил без изменения решение суда первой инстанции и постановление суда апелляционной инстанции. Таможенный орган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заявления. Письмом судьи Верховного Суда Российской Федерации от 20.02.2023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таможенного органа от 24.01.2022 № 10317000-3/2022 общество привлечено к административной ответственности, предусмотренной частью 2 статьи 16.2 КоАП РФ. Не согласившись с указанным постановлением таможенного органа, общество оспорило его в арбитражном суде. Рассматривая настоящий спор, установив, что таможенный орган составил протокол об административном правонарушении без участия представителя общества и в отсутствие доказательств надлежащего извещения общества о времени и месте совершения указанного действия, а также то, что о времени и месте рассмотрения дела об административном правонарушении таможенный орган не известил заблаговременно общество в целях обеспечения возможности явится на рассмотрение дела в другой субъект Российской Федерации за короткий период времени (менее суток), отклонив при этом ходатайство общества об отложении рассмотрения дела об административном правонарушении, суды пришли к выводу о существенном нарушении таможенным органом процедуры привлечения общества к административной ответственности, в связи с чем признали незаконным оспариваемое постановление таможенного органа, отменив его. Обжалуя судебные акты в Верховный Суд Российской Федерации, таможенный орган приводит доводы, которые являлись предметом рассмотрения судов и получили надлежащую правовую оценку применительно к установленным обстоятельствам дела, связанным с тем, что таможенным органом при производстве по делу об административном правонарушении допущены существенные процессуальные нарушения, которые не позволили полно, всесторонне и объективно рассмотреть дело об административном правонарушении. Общество было лишено предоставленных КоАП РФ гарантий защиты своих прав при производстве по делу об административном правонарушении. Несогласие таможенного органа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таможенного органа, изложенные в кассационной жалобе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"Логистический и информационно-правовой центр" (подробнее) Ответчики: Новороссийская таможня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