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17.05.2022, оставленным без изменения постановлением Двадцатого арбитражного апелляционного суда от 27.07.2022, признаны недействительными решения собрания кредиторов от 01.09.2021 по первому, второму, третьему, пятому вопросам; в отдельное производство выделено рассмотрение заявления финансового управляющего об определении порядка пользования имуществом должника в виде передачи имущества под охрану за счет средств конкурсной массы. Постановлением Арбитражного суда Центрального округа от 07.12.2022 определение от 17.05.2022 и постановление апелляционного суда от 27.07.2022 отменены в части признания недействительным решения по первому, второму и третьему вопросам и в удовлетворении указанной части требований отказано. В кассационных жалобах кредиторы просят об отмене постановления окружного суда как незаконного и необоснованного.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Обжалуемое постановление принято в соответствии со статьями 12, 15, 213.8, 213.9, 213.32 Федерального закона от 26.10.2002 № 127- ФЗ «О несостоятельности (банкротстве)» и полномочиями окружного суда, предусмотренными статьями 286, 287 Арбитражного процессуального кодекса Российской Федерации. Доводы кассационных жалоб не подтверждают нарушения норм права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Сидневу Андрею Игоревичу и Костюшину Борису Юрьевичу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