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Оренбургской области от 06.06.2022 и дополнительным определением от 11.07.2022 признаны недействительными договор купли-продажи транспортного средства от 19.11.2020, заключенный должником с Парадовской М.В., и договор купли-продажи транспортного средства от 13.10.2021, заключенный Парадовской М.В. с Русинкевичем А.В., последний обязан возвратить транспортное средство в конкурсную массу должника. Восемнадцатый арбитражный апелляционный суд, рассмотрев обособленный спор по правилам для суда первой инстанции, постановлением от 10.10.2022 отменил определение от 06.06.2022 и отказал в удовлетворении заявления. Арбитражный суд Уральского округа постановлением от 09.12.2022 постановление апелляционного суда от 10.10.2022 оставил без изменения. В кассационной жалобе Бережная Е.В. просит об отмене судебных актов апелляционного и окружного судов, ссылаясь на немотивированность 2 отклонения ее доводов о наличии общегражданских оснований недействительности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установил, что по периоду совершения сделки попадают под подозрительные, но не являются таковыми, учитывая их возмездный характер, не повлекший умаления имущественного положения должника и причинения вреда его кредиторам. Иная оценка обстоятельств совершения сделок и их последствий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Бережной Е.В.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