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Исследовав и оценив представленные в материалы дела доказательства, руководствуясь положениями гражданского законодательства и законодательства, регулирующего обращение с твердыми коммунальными отходами (далее – ТКО) и порядок их коммерческого учета объема 2 и (или) массы, установив, что в спорный период истец (региональный оператор) на основании типового договора надлежащим образом оказал ответчику услуги по обращению с ТКО, которые последний не оплатил, пришли к выводу о наличии оснований для взыскания с ответчика долга, рассчитанного с учетом его вида деятельности на основании нормативов накопления ТКО. Изложенные в кассационной жалобе доводы были предметом рассмотрения судов и получили правовую оценку, не опровергают выводы судов, направлены на переоценку установленных судами обстоятельств дела,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Дунаева Сергея Анатольевича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