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глава крестьянского (фермерского) хозяйства Асуева Елизавета Майдаровна обратилась в суд с заявлениями о переводе на неё прав и обязанностей покупателя по договорам купли–продажи от 04.02.2022 лотов № 9 и № 13 реализованных на торгах 2310–ОТПП по продаже имущества должника, в связи с наличием первичного преимущественного права приобретения имущества должника. Определением Арбитражного суда Новосибирской области от 27.06.2022 заявление удовлетворено. Постановлением Седьмого арбитражного апелляционного суда от 13.10.2022 определение суда первой инстанции отменено, в удовлетворении заявленных требований отказано. Постановлением Арбитражного суда Западно–Сибирского округа от 13.12.2022 отменено постановление суда апелляционной инстанции, определение суда первой инстанции оставлено в силе. 2 В кассационных жалобах, поданных в Верховный Суд Российской Федерации, заявители просят отменить постановление суда округа, оставить в силе постановление апелляционного суда.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кассационных жалоб,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Бузыканову Вадиму Олеговичу и конкурсному управляющему обществом с ограниченной ответственностью «Троицкое» Трушкокову Евгению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