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(далее – реестр) задолженности, неустойки, судебных расходов. Определением Арбитражного суда города Москвы от 27.10.2021, оставленным без изменения постановлением Девятого арбитражного апелляционного суда от 16.02.2022, заявление удовлетворено в части включения в третью очередь реестра 1 443 519 рублей 69 копеек основного долга, 7 679 908 рублей 46 копеек неустойки, 103 635 рублей судебных расходов. Во включении в реестр требований в части неустойки в большем размере отказано. Не согласившись с данными судебными актами, заявитель обратился в суд кассационной жалобой. Определением Арбитражного суда Московского округа от 24.10.2022, оставленным без изменения коллегиальным определением того же суда округа от 13.12.2022, кассационная жалоба возвращена заявителю на основании пункта 2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Письмом Верховного Суда Российской Федерации от 07.02.2023 № 305-ЭС22-28570 настоящая кассационная жалоба заявителя в части обжалования определения Арбитражного суда города Москвы от 27.10.2021 и постановления Девятого арбитражного апелляционного суда от 16.02.2022 по настоящему делу возвращена без рассмотрения по существу как поданная с нарушением правил подсудности, установленных пунктом 1 частью 2 статьи 291.1 Арбитражного процессуального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заявителя и подтверждая законность такого возврата, суд округа, руководствуясь статьями 117 , 181 , 276 , 281 Арбитражного процессуального кодекса Российской Федерации, исходил из доказанности надлежащего извещения заявителя о начавшемся судебном процессе по обособленному спору и отсутствия оснований для удовлетворения ходатайства с учётом пропуска заявителем шестимесячного пресекательного срока на подачу кассационной жалобы.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срок, в том числе, посредством электронной системы подачи документов (http://kad.arbitr.ru), заявителем представлено не было.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Горюнов Виталий (подробнее) Департамент городского имущества города Москвы (подробнее) ИФНС №17 (подробнее) ООО "Интек" (подробнее) ПАО Московский областной банк (подробнее) Ответчики: АО ФИРМА "БУК СЭЙЛ" (подробнее) Иные лица: ООО "КНИГИ-2" (подробнее) СРО "САУ "Возрождение"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