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марта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Тюменской области от 02.06.2022, оставленным без изменения постановлением Восьмого арбитражного апелляционного суда от 13.09.2022 и постановлением Арбитражного суда Западно-Сибирского округа от 24.11.2022, процедура реструктуризации долгов Землякова В.К. завершена. В кассационной жалобе Муначев Р.Ф. просит об отмене судебных актов, ссылаясь на преждевременное завершение процедуры банкротства при наличии непогашенных текущих обязательств.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2 иной экономической деятельности, а также защита охраняемых законом публичных интересов. Таких оснований в связи с доводами жалобы не усматривается. Суды установили исполнение должником утвержденного определением от 08.07.2021 плана реструктуризации долгов и полное погашение согласно указанному плану задолженности перед кредиторами, поэтому признали наличие условий для завершения процедуры реструктуризации долгов в соответствии со статьей 213.22 Федерального закона от 26.10.2002 № 127-ФЗ «О несостоятельности (банкротстве)». Доводы, приведенные в кассационной жалобе, являлись предметом рассмотрения судов, получили надлежащую правовую оценку и не создают оснований для пересмотра судебных актов в кассационном порядке Верховным Судом Российской Федерации.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Муначеву Рафхальту Фаттаховичу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