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пересмотре по вновь открывшимся обстоятельствам определения Арбитражного суда города Москвы от 22.02.2019 о привлечении контролирующих должника лиц ФИО1 и ФИО2 к субсидиарной ответственности по обязательствам должника. Определением Арбитражного суда города Москвы от 08.08.2022, оставленным без изменения постановлениями Девятого арбитражного апелляционного суда от 17.10.2022 и Арбитражного суда Московского округа от 20.12.2022,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дело направить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статьи 311 Арбитражного процессуального кодекса Российской Федерации, разъяснениями, содержащимися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нём обстоятельства не отвечают признакам вновь открывшихся, в связи с чем отказали в удовлетворении заявления. Выводы судов соответствуют нормам права, оснований их переоценки по доводам жалобы не имеется. Существенных нарушений судами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АКБ ПЕРЕСВЕТ (подробнее) ИФНС №30 (подробнее) ИФНС России №30 по г.Москва (подробнее) ПАО АКЦИОНЕРНЫЙ КОММЕРЧЕСКИЙ БАНК "РОССИЙСКИЙ КАПИТАЛ" (подробнее) Ответчики: ООО "Эридана" (подробнее) Иные лица: ГК "Агентство по страхованию вкладов"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