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22.12.2020, оставленным без изменения постановлением Девятого арбитражного апелляционного суда от 12.03.2021, завершена процедура реализации имущества должника без освобождения от дальнейшего исполнения требований кредиторов. Арбитражный суд Московского округа постановлением от 18.06.2021 определение от 22.12.2020 и постановление Девятого арбитражного апелляционного суда от 12.03.2021 оставил без изменения. В кассационной жалобе ФИО1 просит об отмене судебных актов, ссылаясь на неисследование и отсутствие надлежащей оценки обстоятельств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Поведение должника в процедурах банкротства исследовано и оценено судами как не отвечающее правилам пункта 3 статьи 213.28 Федерального закона от 26.10.2002 № 127-ФЗ «О несостоятельности (банкротстве)» для освобождения от исполнения обязательств. Доводы кассационной жалобы не опровергают вывода судов и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АО ВТБ Регистратор (подробнее) ИФНС №28 по г. Москве (подробнее) НП "СРО АУ "ЛИГА"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