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16.06.2022, оставленным без изменения постановлением Второго арбитражного апелляционного суда от 29.08.2022 и постановлением Арбитражного суда Волго-Вятского округа от 05.12.2022, заявление удовлетворено. В кассационной жалобе Кулдышев С.А. просит об отмене судебных актов, ссылаясь на несоответствие их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солидарную обязанность супругов по возврату долга и неопровержение расходования денежных средств на нужды семьи, поэтому признали долг общим в силу статьи 323 Гражданского кодекса Российской Федерации, статьи 45 Семейного кодекса Российской Федерации, статей 213.8, 213.19, 213.24,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Кулдышеву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