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11.05.2022, оставленным без изменения постановлением Шестого арбитражного апелляционного суда от 23.08.2022 и постановлением Арбитражного суда Дальневосточного округа от 09.12.2022, в удовлетворении заявления отказано. В кассационной жалобе ФИО1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заинтересованности сторон и умаления конкурсной массы должника вследствие совершения сделки по рыночной цене, препятствующих признанию ее недействительной в силу пункта 2 статьи 61.2 Федерального закона от 26.10.2002 N 127-ФЗ «О несостоятельности (банкротстве)», статей 10 , 168 Гражданского кодекса Российской Федерации. Требуемая переоценка обстоятельств совершения сделки не влечет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"Магадан-Тест" (подробнее) Иные лица: Алёхина Оксана Геннадьевна (подробнее) Государственная иснпекция по надзору за техническим состоянием самоходных машин и других видов техники (подробнее) к/у Свинарев Артем Игоревич (подробнее) Магаданский городской отдел судебных приставов №1 УФНС России по Магаданской области (подробнее) Магаданский городской суд (подробнее) ООО "Правовой центр" (подробнее) Отдел ГИБДД УМВД России по Магаданской области (подробнее) Саморегулируемая организация-Союз арбитражных управляющих "Возрождение"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