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заявителя жалобы на правовую позицию Конституционного Суда Российской Федерации, изложенную в пункте 4.1 постановления от 18.07.2018 № 33-П, не принимается, поскольку не свидетельствует о незаконности обжалуемых судебных актов применительно к обстоятельствам настоящего дела, связанным с предоставлением из областного бюджета бюджету муниципального образования субсидии на достижение целевых показателей и отсутствием кредиторской задолженности по соглашению о предоставлении данной субсидии.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финансам администрации муниципального образования «Город Саратов»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