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30.09.2021 в отношении ФИО2 введена процедура реструктуризации долгов гражданина, в третью очередь реестра требований кредиторов должника включено требование ФИО1 в размере 28 529 032 рублей. Решением Арбитражного суда Тюменской области от 01.02.2022 в удовлетворении ходатайства должника о прекращении производства по делу отказано; определение суда в части включения в третью очередь реестра требований кредиторов должника требования ФИО1 отменено по новым обстоятельствам; назначено судебное заседание по рассмотрению заявления о включении требования ФИО1 в реестр требований кредиторов должника. Определением Арбитражного суда Тюменской области от 17.06.2022, оставленным без изменения постановлением Восьмого арбитражного апелляционного суда от 13.09.2022 и постановлением Арбитражного суда Западно-Сибирского округа от 05.12.2022, в удовлетворении заявления о включении требования в реестр требований кредиторов должника отказано. ФИО1 обратился в Судебную коллегию Верховного Суда Российской Федерации с кассационной жалобой на принятые по его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кредитора, суды руководствовались статьями 809 , 810 Гражданского кодекса Российской Федерации, статьями 71 , 100 , 142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недоказанности реальности заемных отношений.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Управление Федеральной службы по Тюменской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