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несоответствие выводов судов апелляционной и кассационной инстанций представленным доказательствам, просит пересмотреть в кассационном порядке указанные судебные акты в части удовлетворения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 по правилам статьи 71 Арбитражного процессуального кодекса Российской Федерации, в том числе заключение судебной экспертизы и пояснения 2 эксперта, установив, что при продаже предметов лизинга ответчик (лизингодатель) действовал недобросовестно, реализовав их по заниженной стоимости, определив сальдо взаимных обязательств сторон, руководствуясь статьями 395, 1102, 1107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Обзоре судебной практики по спорам, связанным с договором финансовой аренды (лизинга), утвержденном Президиумом Верховного Суда Российской Федерации 27.10.2021, суд апелляционной инстанции частично удовлетворил исковые требования. Суд округа поддержал выводы апелляционного суда, изменив при этом постановление в части взыскания процентов за пользование чужими денежными средствами и судебных расходов.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«Совкомбанк 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