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публичное акционерное общество Банк «Траст» обратился в суд с заявлением о разрешении разногласий с конкурсным управляющим по порядку распределения денежных средств от продажи прав требования по субсидиарной ответственности к Гусеву Юрию Николаевичу. Определением Арбитражного суда города Москвы от 04.05.2022, оставленным без изменения постановлениями Девятого арбитражного апелляционного суда от 22.08.2022 и Арбитражного суда Московского округа от 21.11.2022, разрешены разногласия, установлено, что за счёт данных денежных средств не подлежат погашению требования по налогу на имущество должника. В кассационной жалобе, поданной в Верховный Суд Российской Федерации, заявитель просит изменить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разногласия, суды, руководствуясь положениями пункта 6 статьи 138 Федерального закона от 26.10.2002 № 127-ФЗ «О несостоятельности (банкротстве)», исходили из того, что текущие платежи по налогу на имущество, относящиеся к залоговому имуществу, погашаются из средств, вырученных от реализации предмета залога.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«ФК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