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несоответствие выводов судов фактическим обстоятельствам дела и имеющимся в деле доказательствам,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Исследовав и оценив представленные в материалы дела доказательства по правилам статьи 71 Арбитражного процессуального кодекса Российской 2 Федерации, руководствуясь статьями 452, 702, 711, 717 Гражданского кодекса Российской Федерации, суды пришли к выводу об отсутствии оснований для удовлетворения иска, исходя из недоказанности истцом несения им расходов в заявленном размере в связи с исполнением спорного договора. Приведенные в кассационной жалобе доводы не опровергают выводы судов, направлены на переоценку установленных по делу обстоятельств,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«ЦЭИ-Энерго»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