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Выраженное в жалобе несогласие с выводами судов, направлено на переоценку представленных в материалы дела доказательств, что не относится 2 к полномочиям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Джахангирову Расиму Тарлан 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