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Тюменской области от 06.06.2019 процедура реализации имущества ФИО1 завершена, должник освобождена от дальнейшего исполнения требований кредиторов, в том числе требований, не заявленных при введении процедуры реализации имущества гражданина. Решением Арбитражного суда Тюменской области от 04.02.2022 определение суда первой инстанции о завершении процедуры реализации имущества ФИО1 отменено по вновь открывшимся обстоятельствам в связи с обнаружением имущества; отменено определение Арбитражного суда Тюменской от 16.04.2019 об исключении из конкурсной массы имущественного права в виде 100% участия в уставном капитале ООО «Яков Плюс»; возобновлена процедура реализации имущества гражданина. ФИО1 обратилась в Арбитражный суд Тюменской области с ходатайством об исключении из конкурсной массы транспортного средства. Определением Арбитражного суда Тюменской области от 17.08.2022 ходатайство должника удовлетворено; автомобиль исключен из конкурсной массы должника. Постановлением Восьмого арбитражного апелляционного суда от 13.10.2022 определение суда первой инстанции отменено; в удовлетворении ходатайства отказано. Арбитражный суд Западно-Сибирского округа постановлением от 13.12.2022 постановление суда апелляционной инстанции оставил без изменения. ФИО1 обратилась в Судебную коллегию Верховного Суда Российской Федерации с кассационной жалобой на принятые по спору постановления апелляционного суда и суда округа, ссылаясь на существенные нарушения норм права. Письмом судьи Верховного Суда Российской Федерации от 03.02.2023 материалы обособленного спора истребованы из Арбитражного суда Тюменской области для проверки доводов жалобы.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с материалами истребованного дела, не установлено. Разрешая спор, суды апелляционной и кассационной инстанций руководствовались статьями 213.25 , 213.29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исходили из отсутствия законодательных ограничений при проведении возобновленной процедуры реализации имущества, а также из того, что возобновление процедуры банкротства не влечет распространение исполнительского иммунитета на денежную разницу между ценой реализованного должником жилого помещения и стоимостью приобретенного должником жилого помещения меньшей площади и на спорный автомобиль, приобретенный должником на эти денежные средства.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8 ААС (подробнее) Арбитражный суд Западно-Сибирского округа (подробнее) Банк ВТБ (подробнее) ГУ МВД по Свердловской области (подробнее) ПАО Банк ВТБ РОО "Тюменский филиал №6602 (подробнее) ПАО ВТБ (подробнее) ПАО "Уральский Транспортный банк"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