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20.10.2021 заявление ООО «СтройТехСнаб» признано обоснованным; в отношении Резуненко Е.В. введена процедура, применяемая в деле о банкротстве граждан – реструктуризация долгов гражданина. Решением Арбитражного суда Челябинской области от 28.04.2022, оставленным без изменения постановлением Восемнадцатого арбитражного апелляционного суда от 26.08.2022 и постановлением Арбитражного суда Уральского округа от 21.12.2022, должник признан несостоятельным (банкротом), в отношении должника введена процедура реализации имущества гражданина сроком на шесть месяцев. Резуненко Е.В.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Принимая решение о признании должника банкротом и введении процедуры реализации имущества гражданина, суды руководствовались статьями 57, 213.2, 213.24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